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E9" w:rsidRPr="00D34AE9" w:rsidRDefault="00D34AE9" w:rsidP="00D34AE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22763648"/>
      <w:r w:rsidRPr="00D34AE9">
        <w:rPr>
          <w:rFonts w:ascii="Times New Roman" w:eastAsia="MS Mincho" w:hAnsi="Times New Roman" w:cs="Times New Roman"/>
          <w:b/>
          <w:bCs/>
          <w:color w:val="17365D"/>
          <w:kern w:val="32"/>
          <w:sz w:val="28"/>
          <w:szCs w:val="24"/>
          <w:lang w:eastAsia="x-none"/>
        </w:rPr>
        <w:t>ДОКУМЕНТАЦИЯ О ЗАКУПКЕ</w:t>
      </w:r>
      <w:bookmarkEnd w:id="0"/>
    </w:p>
    <w:p w:rsidR="00D34AE9" w:rsidRPr="00D34AE9" w:rsidRDefault="00D34AE9" w:rsidP="00D34AE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22763649"/>
      <w:r w:rsidRPr="00D34AE9">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D34AE9">
        <w:rPr>
          <w:rFonts w:ascii="Times New Roman" w:eastAsia="MS Mincho" w:hAnsi="Times New Roman" w:cs="Times New Roman"/>
          <w:b/>
          <w:bCs/>
          <w:color w:val="17365D"/>
          <w:kern w:val="32"/>
          <w:sz w:val="28"/>
          <w:szCs w:val="24"/>
          <w:lang w:val="x-none" w:eastAsia="x-none"/>
        </w:rPr>
        <w:tab/>
      </w:r>
    </w:p>
    <w:p w:rsidR="00D34AE9" w:rsidRPr="00D34AE9" w:rsidRDefault="00D34AE9" w:rsidP="00D34AE9">
      <w:pPr>
        <w:spacing w:after="0" w:line="240" w:lineRule="auto"/>
        <w:ind w:firstLine="567"/>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Открытый запрос предложений</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в электронной форме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Открытый запрос предложений)</w:t>
      </w:r>
      <w:r w:rsidRPr="00D34AE9">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Заказчик</w:t>
      </w:r>
      <w:r w:rsidRPr="00D34AE9">
        <w:rPr>
          <w:rFonts w:ascii="Times New Roman" w:eastAsia="Times New Roman" w:hAnsi="Times New Roman" w:cs="Times New Roman"/>
          <w:sz w:val="24"/>
          <w:szCs w:val="24"/>
          <w:lang w:eastAsia="ru-RU"/>
        </w:rPr>
        <w:t xml:space="preserve"> – организация, указанная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_Ref368314103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Закупочная комиссия</w:t>
      </w:r>
      <w:r w:rsidRPr="00D34AE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Электронная торговая площадка (ЭТП)</w:t>
      </w:r>
      <w:r w:rsidRPr="00D34AE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_Ref378108959 \r \h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Оператор Электронной торговой площадки (Оператор ЭТП)</w:t>
      </w:r>
      <w:r w:rsidRPr="00D34AE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Регламент работы ЭТП</w:t>
      </w:r>
      <w:r w:rsidRPr="00D34AE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Официальный сайт</w:t>
      </w:r>
      <w:r w:rsidRPr="00D34AE9">
        <w:rPr>
          <w:rFonts w:ascii="Times New Roman" w:eastAsia="Times New Roman" w:hAnsi="Times New Roman" w:cs="Times New Roman"/>
          <w:sz w:val="24"/>
          <w:szCs w:val="24"/>
          <w:lang w:eastAsia="ru-RU"/>
        </w:rPr>
        <w:t xml:space="preserve"> – официальный сайт в информационно-телекоммуникационной сети «Интернет» (</w:t>
      </w:r>
      <w:hyperlink r:id="rId5" w:history="1">
        <w:r w:rsidRPr="00D34AE9">
          <w:rPr>
            <w:rFonts w:ascii="Times New Roman" w:eastAsia="Times New Roman" w:hAnsi="Times New Roman" w:cs="Times New Roman"/>
            <w:iCs/>
            <w:color w:val="0000FF"/>
            <w:sz w:val="24"/>
            <w:szCs w:val="24"/>
            <w:u w:val="single"/>
            <w:lang w:eastAsia="ru-RU"/>
          </w:rPr>
          <w:t>www.zakupki.gov.ru</w:t>
        </w:r>
      </w:hyperlink>
      <w:r w:rsidRPr="00D34AE9">
        <w:rPr>
          <w:rFonts w:ascii="Times New Roman" w:eastAsia="Times New Roman" w:hAnsi="Times New Roman" w:cs="Times New Roman"/>
          <w:sz w:val="24"/>
          <w:szCs w:val="24"/>
          <w:lang w:eastAsia="ru-RU"/>
        </w:rPr>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Документация о закупке (далее также – Документация)</w:t>
      </w:r>
      <w:r w:rsidRPr="00D34AE9">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6"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и размещённая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Извещение о закупке (далее также – Извещение) – </w:t>
      </w:r>
      <w:r w:rsidRPr="00D34AE9">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7"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Электронный документ</w:t>
      </w:r>
      <w:r w:rsidRPr="00D34AE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Заявка на участие в закупке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Заявка)</w:t>
      </w:r>
      <w:r w:rsidRPr="00D34AE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8"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и </w:t>
      </w:r>
      <w:r w:rsidRPr="00D34AE9">
        <w:rPr>
          <w:rFonts w:ascii="Times New Roman" w:eastAsia="Times New Roman" w:hAnsi="Times New Roman" w:cs="Times New Roman"/>
          <w:sz w:val="24"/>
          <w:szCs w:val="24"/>
          <w:lang w:eastAsia="ru-RU"/>
        </w:rPr>
        <w:lastRenderedPageBreak/>
        <w:t xml:space="preserve">настоящей Документацией, предоставляемый Заказчику Претендентом на участие в закупке в порядке, предусмотренном </w:t>
      </w:r>
      <w:hyperlink r:id="rId9"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34AE9">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Участник закупки (далее также - Участник)</w:t>
      </w:r>
      <w:r w:rsidRPr="00D34AE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0"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Субъект МСП</w:t>
      </w:r>
      <w:r w:rsidRPr="00D34AE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34AE9">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Лот</w:t>
      </w:r>
      <w:r w:rsidRPr="00D34AE9">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Начальная (максимальная) цена договора</w:t>
      </w:r>
      <w:r w:rsidRPr="00D34AE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_Ref368315592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bCs/>
            <w:sz w:val="24"/>
            <w:lang w:eastAsia="ru-RU"/>
          </w:rPr>
          <w:t>раздела II «Информационная карта»</w:t>
        </w:r>
      </w:hyperlink>
      <w:r w:rsidRPr="00D34AE9">
        <w:rPr>
          <w:rFonts w:ascii="Times New Roman" w:eastAsia="Times New Roman" w:hAnsi="Times New Roman" w:cs="Times New Roman"/>
          <w:bCs/>
          <w:sz w:val="24"/>
          <w:lang w:eastAsia="ru-RU"/>
        </w:rPr>
        <w:t xml:space="preserve"> Документации</w:t>
      </w: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hyperlink r:id="rId11" w:history="1">
        <w:r w:rsidRPr="00D34AE9">
          <w:rPr>
            <w:rFonts w:ascii="Times New Roman" w:eastAsia="Times New Roman" w:hAnsi="Times New Roman" w:cs="Times New Roman"/>
            <w:b/>
            <w:sz w:val="24"/>
            <w:szCs w:val="24"/>
            <w:lang w:eastAsia="ru-RU"/>
          </w:rPr>
          <w:t>Положение о закупках</w:t>
        </w:r>
      </w:hyperlink>
      <w:r w:rsidRPr="00D34AE9">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10 от 21 сентября 2015 г.), размещенное в установленном порядке на Официальном сайте и на сайте Заказчика - </w:t>
      </w:r>
      <w:hyperlink r:id="rId12" w:history="1">
        <w:r w:rsidRPr="00D34AE9">
          <w:rPr>
            <w:rFonts w:ascii="Times New Roman" w:eastAsia="Times New Roman" w:hAnsi="Times New Roman" w:cs="Times New Roman"/>
            <w:iCs/>
            <w:color w:val="0000FF"/>
            <w:sz w:val="24"/>
            <w:szCs w:val="24"/>
            <w:u w:val="single"/>
            <w:lang w:eastAsia="ru-RU"/>
          </w:rPr>
          <w:t>www.bashtel.ru</w:t>
        </w:r>
      </w:hyperlink>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ЭП</w:t>
      </w:r>
      <w:r w:rsidRPr="00D34AE9">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Размещенное на ЭТП и Официальном сайте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34AE9" w:rsidRPr="00D34AE9" w:rsidRDefault="00D34AE9" w:rsidP="00D34AE9">
      <w:pPr>
        <w:spacing w:after="0" w:line="240" w:lineRule="auto"/>
        <w:ind w:firstLine="567"/>
        <w:jc w:val="right"/>
        <w:rPr>
          <w:rFonts w:ascii="Times New Roman" w:eastAsia="Times New Roman" w:hAnsi="Times New Roman" w:cs="Times New Roman"/>
          <w:i/>
          <w:color w:val="BFBFBF"/>
          <w:sz w:val="12"/>
          <w:szCs w:val="12"/>
          <w:lang w:eastAsia="ru-RU"/>
        </w:rPr>
      </w:pPr>
      <w:r w:rsidRPr="00D34AE9">
        <w:rPr>
          <w:rFonts w:ascii="Times New Roman" w:eastAsia="Times New Roman" w:hAnsi="Times New Roman" w:cs="Times New Roman"/>
          <w:i/>
          <w:color w:val="BFBFBF"/>
          <w:sz w:val="12"/>
          <w:szCs w:val="12"/>
          <w:lang w:eastAsia="ru-RU"/>
        </w:rPr>
        <w:t>Версия шаблона от 12.08.2015 г.</w:t>
      </w:r>
    </w:p>
    <w:p w:rsidR="00D34AE9" w:rsidRPr="00D34AE9" w:rsidRDefault="00D34AE9" w:rsidP="00D34AE9">
      <w:pPr>
        <w:spacing w:after="0" w:line="240" w:lineRule="auto"/>
        <w:jc w:val="center"/>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br w:type="page"/>
      </w:r>
      <w:bookmarkStart w:id="2" w:name="_РАЗДЕЛ_II._СВЕДЕНИЯ"/>
      <w:bookmarkStart w:id="3" w:name="_РАЗДЕЛ_II._ИНФОРМАЦИОННАЯ"/>
      <w:bookmarkStart w:id="4" w:name="_Toc422763650"/>
      <w:bookmarkEnd w:id="2"/>
      <w:bookmarkEnd w:id="3"/>
      <w:r w:rsidRPr="00D34AE9">
        <w:rPr>
          <w:rFonts w:ascii="Times New Roman" w:eastAsia="MS Mincho" w:hAnsi="Times New Roman" w:cs="Times New Roman"/>
          <w:color w:val="17365D"/>
          <w:kern w:val="32"/>
          <w:sz w:val="24"/>
          <w:szCs w:val="24"/>
          <w:lang w:val="x-none" w:eastAsia="x-none"/>
        </w:rPr>
        <w:lastRenderedPageBreak/>
        <w:t xml:space="preserve">РАЗДЕЛ II. </w:t>
      </w:r>
      <w:r w:rsidRPr="00D34AE9">
        <w:rPr>
          <w:rFonts w:ascii="Times New Roman" w:eastAsia="MS Mincho" w:hAnsi="Times New Roman" w:cs="Times New Roman"/>
          <w:color w:val="17365D"/>
          <w:kern w:val="32"/>
          <w:sz w:val="24"/>
          <w:szCs w:val="24"/>
          <w:lang w:eastAsia="x-none"/>
        </w:rPr>
        <w:t>ИНФОРМАЦИОННАЯ КАРТА</w:t>
      </w:r>
      <w:bookmarkEnd w:id="4"/>
    </w:p>
    <w:p w:rsidR="00D34AE9" w:rsidRPr="00D34AE9" w:rsidRDefault="00D34AE9" w:rsidP="00D34AE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22763651"/>
      <w:bookmarkEnd w:id="5"/>
      <w:r w:rsidRPr="00D34AE9">
        <w:rPr>
          <w:rFonts w:ascii="Times New Roman" w:eastAsia="MS Mincho" w:hAnsi="Times New Roman" w:cs="Times New Roman"/>
          <w:b/>
          <w:bCs/>
          <w:i/>
          <w:iCs/>
          <w:color w:val="17365D"/>
          <w:sz w:val="26"/>
          <w:szCs w:val="24"/>
          <w:lang w:val="x-none" w:eastAsia="x-none"/>
        </w:rPr>
        <w:t xml:space="preserve">2.1. Общие сведения </w:t>
      </w:r>
      <w:r w:rsidRPr="00D34AE9">
        <w:rPr>
          <w:rFonts w:ascii="Times New Roman" w:eastAsia="MS Mincho" w:hAnsi="Times New Roman" w:cs="Times New Roman"/>
          <w:b/>
          <w:bCs/>
          <w:i/>
          <w:iCs/>
          <w:color w:val="17365D"/>
          <w:sz w:val="26"/>
          <w:szCs w:val="24"/>
          <w:lang w:eastAsia="x-none"/>
        </w:rPr>
        <w:t xml:space="preserve">о </w:t>
      </w:r>
      <w:r w:rsidRPr="00D34AE9">
        <w:rPr>
          <w:rFonts w:ascii="Times New Roman" w:eastAsia="MS Mincho" w:hAnsi="Times New Roman" w:cs="Times New Roman"/>
          <w:b/>
          <w:bCs/>
          <w:i/>
          <w:iCs/>
          <w:color w:val="17365D"/>
          <w:sz w:val="26"/>
          <w:szCs w:val="24"/>
          <w:lang w:val="x-none" w:eastAsia="x-none"/>
        </w:rPr>
        <w:t>закупк</w:t>
      </w:r>
      <w:r w:rsidRPr="00D34AE9">
        <w:rPr>
          <w:rFonts w:ascii="Times New Roman" w:eastAsia="MS Mincho" w:hAnsi="Times New Roman" w:cs="Times New Roman"/>
          <w:b/>
          <w:bCs/>
          <w:i/>
          <w:iCs/>
          <w:color w:val="17365D"/>
          <w:sz w:val="26"/>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Содержание п/п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xml:space="preserve">(филиала Заказчика)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Фаррахова Эльвера Римовна</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тел. + 7 (347)2767236,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hyperlink r:id="rId13" w:history="1">
              <w:r w:rsidRPr="00D34AE9">
                <w:rPr>
                  <w:rFonts w:ascii="Times New Roman" w:eastAsia="Calibri" w:hAnsi="Times New Roman" w:cs="Times New Roman"/>
                  <w:bCs/>
                  <w:color w:val="0000FF"/>
                  <w:sz w:val="24"/>
                  <w:szCs w:val="24"/>
                  <w:u w:val="single"/>
                  <w:lang w:val="en-US"/>
                </w:rPr>
                <w:t>e</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farrahova</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bashtel</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ru</w:t>
              </w:r>
            </w:hyperlink>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iCs/>
                <w:color w:val="000000"/>
                <w:sz w:val="24"/>
                <w:szCs w:val="24"/>
              </w:rPr>
            </w:pPr>
            <w:r w:rsidRPr="00D34AE9">
              <w:rPr>
                <w:rFonts w:ascii="Times New Roman" w:eastAsia="Calibri" w:hAnsi="Times New Roman" w:cs="Times New Roman"/>
                <w:bCs/>
                <w:iCs/>
                <w:color w:val="000000"/>
                <w:sz w:val="24"/>
                <w:szCs w:val="24"/>
              </w:rPr>
              <w:t>Кощеев Сергей Анатольевич</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color w:val="000000"/>
                <w:sz w:val="24"/>
                <w:szCs w:val="24"/>
              </w:rPr>
            </w:pPr>
            <w:r w:rsidRPr="00D34AE9">
              <w:rPr>
                <w:rFonts w:ascii="Times New Roman" w:eastAsia="Calibri" w:hAnsi="Times New Roman" w:cs="Times New Roman"/>
                <w:bCs/>
                <w:color w:val="000000"/>
                <w:sz w:val="24"/>
                <w:szCs w:val="24"/>
              </w:rPr>
              <w:t xml:space="preserve">тел. + 7 (347)2215418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r w:rsidRPr="00D34AE9">
              <w:rPr>
                <w:rFonts w:ascii="Times New Roman" w:eastAsia="Calibri" w:hAnsi="Times New Roman" w:cs="Times New Roman"/>
                <w:bCs/>
                <w:color w:val="000000"/>
                <w:sz w:val="24"/>
                <w:szCs w:val="24"/>
                <w:lang w:val="en-US"/>
              </w:rPr>
              <w:t>Koshcheev</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bashtel</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ru</w:t>
            </w:r>
            <w:r w:rsidRPr="00D34AE9">
              <w:rPr>
                <w:rFonts w:ascii="Times New Roman" w:eastAsia="Calibri" w:hAnsi="Times New Roman" w:cs="Times New Roman"/>
                <w:bCs/>
                <w:color w:val="000000"/>
                <w:sz w:val="24"/>
                <w:szCs w:val="24"/>
              </w:rPr>
              <w:t xml:space="preserve"> </w:t>
            </w:r>
            <w:r w:rsidRPr="00D34AE9">
              <w:rPr>
                <w:rFonts w:ascii="Times New Roman" w:eastAsia="Calibri" w:hAnsi="Times New Roman" w:cs="Times New Roman"/>
                <w:bCs/>
                <w:color w:val="000000"/>
                <w:sz w:val="10"/>
                <w:szCs w:val="10"/>
              </w:rPr>
              <w:t xml:space="preserve">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Не установлены</w:t>
            </w:r>
          </w:p>
        </w:tc>
      </w:tr>
      <w:tr w:rsidR="00D34AE9" w:rsidRPr="00D34AE9" w:rsidTr="00D34AE9">
        <w:trPr>
          <w:trHeight w:val="852"/>
        </w:trPr>
        <w:tc>
          <w:tcPr>
            <w:tcW w:w="710" w:type="dxa"/>
            <w:tcBorders>
              <w:top w:val="single" w:sz="4" w:space="0" w:color="auto"/>
              <w:left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34AE9">
              <w:rPr>
                <w:rFonts w:ascii="Times New Roman" w:eastAsia="Times New Roman" w:hAnsi="Times New Roman" w:cs="Times New Roman"/>
                <w:sz w:val="24"/>
                <w:szCs w:val="24"/>
                <w:lang w:val="en-US" w:eastAsia="ru-RU"/>
              </w:rPr>
              <w:t>SETonline</w:t>
            </w:r>
            <w:r w:rsidRPr="00D34AE9">
              <w:rPr>
                <w:rFonts w:ascii="Times New Roman" w:eastAsia="Times New Roman" w:hAnsi="Times New Roman" w:cs="Times New Roman"/>
                <w:sz w:val="24"/>
                <w:szCs w:val="24"/>
                <w:lang w:eastAsia="ru-RU"/>
              </w:rPr>
              <w:t xml:space="preserve">, находящейся по адресу </w:t>
            </w:r>
            <w:r w:rsidRPr="00D34AE9">
              <w:rPr>
                <w:rFonts w:ascii="Times New Roman" w:eastAsia="Times New Roman" w:hAnsi="Times New Roman" w:cs="Times New Roman"/>
                <w:sz w:val="24"/>
                <w:szCs w:val="24"/>
                <w:lang w:val="en-US" w:eastAsia="ru-RU"/>
              </w:rPr>
              <w:t>www</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4"/>
                <w:szCs w:val="24"/>
                <w:lang w:val="en-US" w:eastAsia="ru-RU"/>
              </w:rPr>
              <w:t>setonline</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4"/>
                <w:szCs w:val="24"/>
                <w:lang w:val="en-US" w:eastAsia="ru-RU"/>
              </w:rPr>
              <w:t>ru</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в электронной форме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но</w:t>
            </w:r>
            <w:r w:rsidRPr="00D34AE9">
              <w:rPr>
                <w:rFonts w:ascii="Times New Roman" w:eastAsia="Times New Roman" w:hAnsi="Times New Roman" w:cs="Times New Roman"/>
                <w:sz w:val="24"/>
                <w:szCs w:val="24"/>
                <w:lang w:eastAsia="ru-RU"/>
              </w:rPr>
              <w:t>ября 2015 года</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дата начала и дата окончания срока предоставления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r w:rsidRPr="00D34AE9">
              <w:rPr>
                <w:rFonts w:ascii="Times New Roman" w:eastAsia="Times New Roman" w:hAnsi="Times New Roman" w:cs="Times New Roman"/>
                <w:sz w:val="24"/>
                <w:szCs w:val="24"/>
                <w:lang w:eastAsia="ru-RU"/>
              </w:rPr>
              <w:t>SETonline</w:t>
            </w:r>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D34AE9">
                <w:rPr>
                  <w:rFonts w:ascii="Times New Roman" w:eastAsia="Times New Roman" w:hAnsi="Times New Roman" w:cs="Times New Roman"/>
                  <w:sz w:val="24"/>
                  <w:szCs w:val="24"/>
                  <w:lang w:eastAsia="ru-RU"/>
                </w:rPr>
                <w:t>105122, г</w:t>
              </w:r>
            </w:smartTag>
            <w:r w:rsidRPr="00D34AE9">
              <w:rPr>
                <w:rFonts w:ascii="Times New Roman" w:eastAsia="Times New Roman" w:hAnsi="Times New Roman" w:cs="Times New Roman"/>
                <w:sz w:val="24"/>
                <w:szCs w:val="24"/>
                <w:lang w:eastAsia="ru-RU"/>
              </w:rPr>
              <w:t>. Москва, Щелковское шоссе, д.5, стр.1</w:t>
            </w:r>
            <w:r w:rsidRPr="00D34AE9">
              <w:rPr>
                <w:rFonts w:ascii="Times New Roman" w:eastAsia="Times New Roman" w:hAnsi="Times New Roman" w:cs="Times New Roman"/>
                <w:iCs/>
                <w:sz w:val="24"/>
                <w:szCs w:val="24"/>
                <w:lang w:eastAsia="ru-RU"/>
              </w:rPr>
              <w:t xml:space="preserve">).    </w:t>
            </w:r>
          </w:p>
          <w:p w:rsidR="00D34AE9" w:rsidRDefault="00D34AE9" w:rsidP="00D34AE9">
            <w:pPr>
              <w:suppressAutoHyphens/>
              <w:spacing w:after="0" w:line="240" w:lineRule="auto"/>
              <w:jc w:val="both"/>
              <w:rPr>
                <w:rFonts w:ascii="Times New Roman" w:eastAsia="Times New Roman" w:hAnsi="Times New Roman" w:cs="Times New Roman"/>
                <w:color w:val="0000FF"/>
                <w:sz w:val="24"/>
                <w:szCs w:val="24"/>
                <w:u w:val="single"/>
                <w:lang w:val="en-US" w:eastAsia="ru-RU"/>
              </w:rPr>
            </w:pPr>
            <w:r w:rsidRPr="00D34AE9">
              <w:rPr>
                <w:rFonts w:ascii="Times New Roman" w:eastAsia="Times New Roman" w:hAnsi="Times New Roman" w:cs="Times New Roman"/>
                <w:iCs/>
                <w:sz w:val="24"/>
                <w:szCs w:val="24"/>
                <w:lang w:eastAsia="ru-RU"/>
              </w:rPr>
              <w:t xml:space="preserve">Сайт Электронной торговой площадки: </w:t>
            </w:r>
            <w:hyperlink r:id="rId14" w:history="1">
              <w:r w:rsidRPr="00D34AE9">
                <w:rPr>
                  <w:rFonts w:ascii="Times New Roman" w:eastAsia="Times New Roman" w:hAnsi="Times New Roman" w:cs="Times New Roman"/>
                  <w:color w:val="0000FF"/>
                  <w:sz w:val="24"/>
                  <w:szCs w:val="24"/>
                  <w:u w:val="single"/>
                  <w:lang w:val="en-US" w:eastAsia="ru-RU"/>
                </w:rPr>
                <w:t>http</w:t>
              </w:r>
              <w:r w:rsidRPr="00D34AE9">
                <w:rPr>
                  <w:rFonts w:ascii="Times New Roman" w:eastAsia="Times New Roman" w:hAnsi="Times New Roman" w:cs="Times New Roman"/>
                  <w:color w:val="0000FF"/>
                  <w:sz w:val="24"/>
                  <w:szCs w:val="24"/>
                  <w:u w:val="single"/>
                  <w:lang w:eastAsia="ru-RU"/>
                </w:rPr>
                <w:t>://</w:t>
              </w:r>
              <w:r w:rsidRPr="00D34AE9">
                <w:rPr>
                  <w:rFonts w:ascii="Times New Roman" w:eastAsia="Times New Roman" w:hAnsi="Times New Roman" w:cs="Times New Roman"/>
                  <w:color w:val="0000FF"/>
                  <w:sz w:val="24"/>
                  <w:szCs w:val="24"/>
                  <w:u w:val="single"/>
                  <w:lang w:val="en-US" w:eastAsia="ru-RU"/>
                </w:rPr>
                <w:t>www</w:t>
              </w:r>
              <w:r w:rsidRPr="00D34AE9">
                <w:rPr>
                  <w:rFonts w:ascii="Times New Roman" w:eastAsia="Times New Roman" w:hAnsi="Times New Roman" w:cs="Times New Roman"/>
                  <w:color w:val="0000FF"/>
                  <w:sz w:val="24"/>
                  <w:szCs w:val="24"/>
                  <w:u w:val="single"/>
                  <w:lang w:eastAsia="ru-RU"/>
                </w:rPr>
                <w:t>.</w:t>
              </w:r>
              <w:r w:rsidRPr="00D34AE9">
                <w:rPr>
                  <w:rFonts w:ascii="Times New Roman" w:eastAsia="Times New Roman" w:hAnsi="Times New Roman" w:cs="Times New Roman"/>
                  <w:color w:val="0000FF"/>
                  <w:sz w:val="24"/>
                  <w:szCs w:val="24"/>
                  <w:u w:val="single"/>
                  <w:lang w:val="en-US" w:eastAsia="ru-RU"/>
                </w:rPr>
                <w:t>setonline</w:t>
              </w:r>
              <w:r w:rsidRPr="00D34AE9">
                <w:rPr>
                  <w:rFonts w:ascii="Times New Roman" w:eastAsia="Times New Roman" w:hAnsi="Times New Roman" w:cs="Times New Roman"/>
                  <w:color w:val="0000FF"/>
                  <w:sz w:val="24"/>
                  <w:szCs w:val="24"/>
                  <w:u w:val="single"/>
                  <w:lang w:eastAsia="ru-RU"/>
                </w:rPr>
                <w:t>.</w:t>
              </w:r>
              <w:r w:rsidRPr="00D34AE9">
                <w:rPr>
                  <w:rFonts w:ascii="Times New Roman" w:eastAsia="Times New Roman" w:hAnsi="Times New Roman" w:cs="Times New Roman"/>
                  <w:color w:val="0000FF"/>
                  <w:sz w:val="24"/>
                  <w:szCs w:val="24"/>
                  <w:u w:val="single"/>
                  <w:lang w:val="en-US" w:eastAsia="ru-RU"/>
                </w:rPr>
                <w:t>ru</w:t>
              </w:r>
            </w:hyperlink>
          </w:p>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p>
          <w:p w:rsidR="00D34AE9" w:rsidRP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начала срока предоставления Заявок: «</w:t>
            </w:r>
            <w:r>
              <w:rPr>
                <w:rFonts w:ascii="Times New Roman" w:eastAsia="Times New Roman" w:hAnsi="Times New Roman" w:cs="Times New Roman"/>
                <w:sz w:val="24"/>
                <w:szCs w:val="24"/>
                <w:lang w:eastAsia="ru-RU"/>
              </w:rPr>
              <w:t>10</w:t>
            </w:r>
            <w:r w:rsidRPr="00D34A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D34AE9">
              <w:rPr>
                <w:rFonts w:ascii="Times New Roman" w:eastAsia="Times New Roman" w:hAnsi="Times New Roman" w:cs="Times New Roman"/>
                <w:sz w:val="24"/>
                <w:szCs w:val="24"/>
                <w:lang w:eastAsia="ru-RU"/>
              </w:rPr>
              <w:t xml:space="preserve">оября 2015 года в 15 часов 00 минут по времени сервера Системы электронных торгов, в соответствии с Регламентом пользования Системой электронных торгов. </w:t>
            </w: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окончания срока предоставления Заявок:</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18</w:t>
            </w:r>
            <w:r w:rsidRPr="00D34AE9">
              <w:rPr>
                <w:rFonts w:ascii="Times New Roman" w:eastAsia="Times New Roman" w:hAnsi="Times New Roman" w:cs="Times New Roman"/>
                <w:sz w:val="24"/>
                <w:szCs w:val="24"/>
                <w:lang w:eastAsia="ru-RU"/>
              </w:rPr>
              <w:t>» ноября 2015 года в 0</w:t>
            </w:r>
            <w:r>
              <w:rPr>
                <w:rFonts w:ascii="Times New Roman" w:eastAsia="Times New Roman" w:hAnsi="Times New Roman" w:cs="Times New Roman"/>
                <w:sz w:val="24"/>
                <w:szCs w:val="24"/>
                <w:lang w:eastAsia="ru-RU"/>
              </w:rPr>
              <w:t>8</w:t>
            </w:r>
            <w:r w:rsidRPr="00D34AE9">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Default="00D34AE9" w:rsidP="00D34AE9">
            <w:pPr>
              <w:spacing w:after="0" w:line="240" w:lineRule="auto"/>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Место открытия доступа к предоставленным в форме электронных документов Заявкам – Электронная торговая площадка.</w:t>
            </w:r>
          </w:p>
          <w:p w:rsidR="00D34AE9" w:rsidRPr="00D34AE9" w:rsidRDefault="00D34AE9" w:rsidP="00D34AE9">
            <w:pPr>
              <w:spacing w:after="0" w:line="240" w:lineRule="auto"/>
              <w:rPr>
                <w:rFonts w:ascii="Times New Roman" w:eastAsia="Times New Roman" w:hAnsi="Times New Roman" w:cs="Times New Roman"/>
                <w:iCs/>
                <w:sz w:val="24"/>
                <w:szCs w:val="24"/>
                <w:lang w:eastAsia="ru-RU"/>
              </w:rPr>
            </w:pPr>
          </w:p>
          <w:p w:rsidR="00D34AE9" w:rsidRPr="00D34AE9" w:rsidRDefault="00D34AE9" w:rsidP="00D34AE9">
            <w:pPr>
              <w:spacing w:after="0" w:line="240" w:lineRule="auto"/>
              <w:rPr>
                <w:rFonts w:ascii="Times New Roman" w:eastAsia="Times New Roman" w:hAnsi="Times New Roman" w:cs="Times New Roman"/>
                <w:sz w:val="24"/>
                <w:szCs w:val="24"/>
                <w:highlight w:val="lightGray"/>
                <w:lang w:eastAsia="ru-RU"/>
              </w:rPr>
            </w:pPr>
            <w:r w:rsidRPr="00D34A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D34AE9">
              <w:rPr>
                <w:rFonts w:ascii="Times New Roman" w:eastAsia="Times New Roman" w:hAnsi="Times New Roman" w:cs="Times New Roman"/>
                <w:sz w:val="24"/>
                <w:szCs w:val="24"/>
                <w:lang w:eastAsia="ru-RU"/>
              </w:rPr>
              <w:t>» ноября 2015 года в 0</w:t>
            </w:r>
            <w:r>
              <w:rPr>
                <w:rFonts w:ascii="Times New Roman" w:eastAsia="Times New Roman" w:hAnsi="Times New Roman" w:cs="Times New Roman"/>
                <w:sz w:val="24"/>
                <w:szCs w:val="24"/>
                <w:lang w:eastAsia="ru-RU"/>
              </w:rPr>
              <w:t xml:space="preserve">8 </w:t>
            </w:r>
            <w:r w:rsidRPr="00D34AE9">
              <w:rPr>
                <w:rFonts w:ascii="Times New Roman" w:eastAsia="Times New Roman" w:hAnsi="Times New Roman" w:cs="Times New Roman"/>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Рассмотрение Заявок</w:t>
            </w:r>
            <w:r w:rsidRPr="00D34AE9">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9</w:t>
            </w:r>
            <w:r w:rsidRPr="00D34AE9">
              <w:rPr>
                <w:rFonts w:ascii="Times New Roman" w:eastAsia="Times New Roman" w:hAnsi="Times New Roman" w:cs="Times New Roman"/>
                <w:sz w:val="24"/>
                <w:szCs w:val="24"/>
                <w:lang w:eastAsia="ru-RU"/>
              </w:rPr>
              <w:t xml:space="preserve">» ноября 2015 года в 14 часов 00 минут по местному времени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Оценка и сопоставление Заявок</w:t>
            </w:r>
            <w:r w:rsidRPr="00D34AE9">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9</w:t>
            </w:r>
            <w:r w:rsidRPr="00D34AE9">
              <w:rPr>
                <w:rFonts w:ascii="Times New Roman" w:eastAsia="Times New Roman" w:hAnsi="Times New Roman" w:cs="Times New Roman"/>
                <w:sz w:val="24"/>
                <w:szCs w:val="24"/>
                <w:lang w:eastAsia="ru-RU"/>
              </w:rPr>
              <w:t>» ноября 2015 года в 1</w:t>
            </w:r>
            <w:r>
              <w:rPr>
                <w:rFonts w:ascii="Times New Roman" w:eastAsia="Times New Roman" w:hAnsi="Times New Roman" w:cs="Times New Roman"/>
                <w:sz w:val="24"/>
                <w:szCs w:val="24"/>
                <w:lang w:eastAsia="ru-RU"/>
              </w:rPr>
              <w:t>5</w:t>
            </w:r>
            <w:r w:rsidRPr="00D34AE9">
              <w:rPr>
                <w:rFonts w:ascii="Times New Roman" w:eastAsia="Times New Roman" w:hAnsi="Times New Roman" w:cs="Times New Roman"/>
                <w:sz w:val="24"/>
                <w:szCs w:val="24"/>
                <w:lang w:eastAsia="ru-RU"/>
              </w:rPr>
              <w:t xml:space="preserve"> часов 00 минут по местному времени</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Подведение итогов закупки</w:t>
            </w:r>
            <w:r w:rsidRPr="00D34AE9">
              <w:rPr>
                <w:rFonts w:ascii="Times New Roman" w:eastAsia="Times New Roman" w:hAnsi="Times New Roman" w:cs="Times New Roman"/>
                <w:sz w:val="24"/>
                <w:szCs w:val="24"/>
                <w:lang w:eastAsia="ru-RU"/>
              </w:rPr>
              <w:t>: не позднее «2</w:t>
            </w:r>
            <w:r>
              <w:rPr>
                <w:rFonts w:ascii="Times New Roman" w:eastAsia="Times New Roman" w:hAnsi="Times New Roman" w:cs="Times New Roman"/>
                <w:sz w:val="24"/>
                <w:szCs w:val="24"/>
                <w:lang w:eastAsia="ru-RU"/>
              </w:rPr>
              <w:t>5</w:t>
            </w:r>
            <w:r w:rsidR="008510C4">
              <w:rPr>
                <w:rFonts w:ascii="Times New Roman" w:eastAsia="Times New Roman" w:hAnsi="Times New Roman" w:cs="Times New Roman"/>
                <w:sz w:val="24"/>
                <w:szCs w:val="24"/>
                <w:lang w:eastAsia="ru-RU"/>
              </w:rPr>
              <w:t xml:space="preserve">   </w:t>
            </w:r>
            <w:bookmarkStart w:id="12" w:name="_GoBack"/>
            <w:bookmarkEnd w:id="12"/>
            <w:r w:rsidRPr="00D34AE9">
              <w:rPr>
                <w:rFonts w:ascii="Times New Roman" w:eastAsia="Times New Roman" w:hAnsi="Times New Roman" w:cs="Times New Roman"/>
                <w:sz w:val="24"/>
                <w:szCs w:val="24"/>
                <w:lang w:eastAsia="ru-RU"/>
              </w:rPr>
              <w:t xml:space="preserve">» ноября 2015 года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D34AE9" w:rsidRPr="00D34AE9" w:rsidRDefault="00D34AE9" w:rsidP="00D34AE9">
            <w:pPr>
              <w:spacing w:after="0" w:line="240" w:lineRule="auto"/>
              <w:rPr>
                <w:rFonts w:ascii="Times New Roman" w:eastAsia="Times New Roman" w:hAnsi="Times New Roman" w:cs="Times New Roman"/>
                <w:i/>
                <w:color w:val="FF0000"/>
                <w:sz w:val="24"/>
                <w:szCs w:val="24"/>
                <w:lang w:eastAsia="ru-RU"/>
              </w:rPr>
            </w:pPr>
            <w:r w:rsidRPr="00D34AE9">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32/1</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лот</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победитель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Поставка товара (светодиодных светильников).</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4AE9">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 1.1 к настоящему Извещению), Требованиями к товару (Приложение № 1.2 к настоящему Извещению) и условиями проекта договора (Приложение №2 к настоящему Извещению).</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D34AE9">
              <w:rPr>
                <w:rFonts w:ascii="Times New Roman" w:eastAsia="Times New Roman" w:hAnsi="Times New Roman" w:cs="Times New Roman"/>
                <w:sz w:val="24"/>
                <w:szCs w:val="24"/>
                <w:lang w:eastAsia="ru-RU"/>
              </w:rPr>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 Техническими требованиями к товару и условиями проекта договора (Приложения №№ 1.1, 1.2, 2 к Извещению). Товар должен быть подтвержден копиями всех необходимых деклараций и сертификатов</w:t>
            </w:r>
            <w:r w:rsidRPr="00D34AE9">
              <w:rPr>
                <w:rFonts w:ascii="Times New Roman" w:eastAsia="Times New Roman" w:hAnsi="Times New Roman" w:cs="Times New Roman"/>
                <w:i/>
                <w:sz w:val="24"/>
                <w:szCs w:val="24"/>
                <w:lang w:eastAsia="ru-RU"/>
              </w:rPr>
              <w:t>.</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34AE9">
              <w:rPr>
                <w:rFonts w:ascii="Times New Roman" w:eastAsia="Calibri" w:hAnsi="Times New Roman" w:cs="Times New Roman"/>
                <w:b/>
                <w:iCs/>
                <w:color w:val="000000"/>
                <w:sz w:val="24"/>
                <w:szCs w:val="24"/>
                <w:lang w:eastAsia="ru-RU"/>
              </w:rPr>
              <w:t>1 275 249,60 рублей без учета НДС.</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34AE9">
              <w:rPr>
                <w:rFonts w:ascii="Times New Roman" w:eastAsia="Times New Roman" w:hAnsi="Times New Roman" w:cs="Times New Roman"/>
                <w:sz w:val="24"/>
                <w:szCs w:val="24"/>
                <w:lang w:eastAsia="ru-RU"/>
              </w:rPr>
              <w:t>В случае, если участник</w:t>
            </w:r>
            <w:r w:rsidRPr="00D34AE9">
              <w:rPr>
                <w:rFonts w:ascii="Times New Roman" w:eastAsia="Times New Roman" w:hAnsi="Times New Roman" w:cs="Times New Roman"/>
                <w:b/>
                <w:sz w:val="24"/>
                <w:szCs w:val="24"/>
                <w:lang w:eastAsia="ru-RU"/>
              </w:rPr>
              <w:t xml:space="preserve"> </w:t>
            </w:r>
            <w:r w:rsidRPr="00D34AE9">
              <w:rPr>
                <w:rFonts w:ascii="Times New Roman" w:eastAsia="Times New Roman" w:hAnsi="Times New Roman" w:cs="Times New Roman"/>
                <w:sz w:val="24"/>
                <w:szCs w:val="24"/>
                <w:lang w:eastAsia="ru-RU"/>
              </w:rPr>
              <w:t>является плательщиком НДС, налог будет начислен сверх стоимости лота.</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
                <w:iCs/>
                <w:color w:val="FF0000"/>
                <w:sz w:val="24"/>
                <w:szCs w:val="24"/>
                <w:lang w:eastAsia="ru-RU"/>
              </w:rPr>
            </w:pPr>
            <w:r w:rsidRPr="00D34AE9">
              <w:rPr>
                <w:rFonts w:ascii="Times New Roman" w:eastAsia="Times New Roman" w:hAnsi="Times New Roman" w:cs="Times New Roman"/>
                <w:iCs/>
                <w:sz w:val="24"/>
                <w:szCs w:val="24"/>
                <w:lang w:eastAsia="ru-RU"/>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1.1</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iCs/>
                <w:sz w:val="24"/>
                <w:szCs w:val="24"/>
                <w:lang w:eastAsia="ru-RU"/>
              </w:rPr>
              <w:t>к настоящему Извещению).</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34AE9" w:rsidRPr="00D34AE9" w:rsidTr="00D34AE9">
              <w:tc>
                <w:tcPr>
                  <w:tcW w:w="3572"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Чем должно быть подтверждено в составе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Pr="00D34AE9">
                    <w:rPr>
                      <w:rFonts w:ascii="Times New Roman" w:eastAsia="Times New Roman" w:hAnsi="Times New Roman" w:cs="Arial"/>
                      <w:color w:val="000000"/>
                      <w:sz w:val="24"/>
                      <w:szCs w:val="24"/>
                      <w:lang w:eastAsia="ru-RU"/>
                    </w:rPr>
                    <w:lastRenderedPageBreak/>
                    <w:t>закупки по данным бухгалтерской отчетности за последний завершенный отчетный период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Pr="00D34AE9">
                    <w:rPr>
                      <w:rFonts w:ascii="Times New Roman" w:eastAsia="Times New Roman" w:hAnsi="Times New Roman" w:cs="Arial"/>
                      <w:color w:val="000000"/>
                      <w:sz w:val="24"/>
                      <w:szCs w:val="24"/>
                      <w:lang w:eastAsia="ru-RU"/>
                    </w:rPr>
                    <w:lastRenderedPageBreak/>
                    <w:t>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6. Отсутствие сведений об Участнике закупки </w:t>
                  </w:r>
                  <w:r w:rsidRPr="00D34AE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Критерий</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Величина значимости критерия (Вес критерия)</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Что конкретно оценивается (показатели)</w:t>
                  </w:r>
                </w:p>
              </w:tc>
            </w:tr>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t>Цена договора (лота)</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90 %</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t xml:space="preserve">Оценивается предложение цены договора, указанное </w:t>
                  </w:r>
                  <w:r w:rsidRPr="00D34AE9">
                    <w:rPr>
                      <w:rFonts w:ascii="Times New Roman" w:eastAsia="Times New Roman" w:hAnsi="Times New Roman" w:cs="Times New Roman"/>
                      <w:sz w:val="24"/>
                      <w:szCs w:val="24"/>
                      <w:lang w:eastAsia="ru-RU"/>
                    </w:rPr>
                    <w:lastRenderedPageBreak/>
                    <w:t>участником закупки в его заявке на участие в закупке</w:t>
                  </w:r>
                </w:p>
              </w:tc>
            </w:tr>
            <w:tr w:rsidR="00D34AE9" w:rsidRPr="00D34AE9" w:rsidTr="00D34AE9">
              <w:trPr>
                <w:trHeight w:val="695"/>
              </w:trPr>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Гарантийный срок</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Оценивается предоставление участником гарантии качества товара на срок не менее 48 месяцев.</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Сведения по данному критерию указываются участником закупки в его заявке на участие в закупке.</w:t>
                  </w:r>
                </w:p>
              </w:tc>
            </w:tr>
            <w:tr w:rsidR="00D34AE9" w:rsidRPr="00D34AE9" w:rsidTr="00D34AE9">
              <w:trPr>
                <w:trHeight w:val="1404"/>
              </w:trPr>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Срок оплаты</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Оценивается согласие участника закупки на дополнительное увеличение срока оплаты, установленного закупочной документацией (</w:t>
                  </w:r>
                  <w:r w:rsidRPr="00D34AE9">
                    <w:rPr>
                      <w:rFonts w:ascii="Times New Roman" w:eastAsia="Times New Roman" w:hAnsi="Times New Roman" w:cs="Arial"/>
                      <w:i/>
                      <w:color w:val="000000"/>
                      <w:sz w:val="24"/>
                      <w:szCs w:val="24"/>
                      <w:lang w:eastAsia="ru-RU"/>
                    </w:rPr>
                    <w:t>п. 33 раздела 2.3 «</w:t>
                  </w:r>
                  <w:r w:rsidRPr="00D34AE9">
                    <w:rPr>
                      <w:rFonts w:ascii="Times New Roman" w:eastAsia="Times New Roman" w:hAnsi="Times New Roman" w:cs="Arial"/>
                      <w:i/>
                      <w:iCs/>
                      <w:color w:val="000000"/>
                      <w:sz w:val="24"/>
                      <w:szCs w:val="24"/>
                      <w:lang w:val="x-none" w:eastAsia="ru-RU"/>
                    </w:rPr>
                    <w:t>Условия заключения и исполнения договора</w:t>
                  </w:r>
                  <w:r w:rsidRPr="00D34AE9">
                    <w:rPr>
                      <w:rFonts w:ascii="Times New Roman" w:eastAsia="Times New Roman" w:hAnsi="Times New Roman" w:cs="Arial"/>
                      <w:i/>
                      <w:iCs/>
                      <w:color w:val="000000"/>
                      <w:sz w:val="24"/>
                      <w:szCs w:val="24"/>
                      <w:lang w:eastAsia="ru-RU"/>
                    </w:rPr>
                    <w:t>»</w:t>
                  </w:r>
                  <w:r w:rsidRPr="00D34AE9">
                    <w:rPr>
                      <w:rFonts w:ascii="Times New Roman" w:eastAsia="Times New Roman" w:hAnsi="Times New Roman" w:cs="Arial"/>
                      <w:i/>
                      <w:color w:val="000000"/>
                      <w:sz w:val="24"/>
                      <w:szCs w:val="24"/>
                      <w:lang w:eastAsia="ru-RU"/>
                    </w:rPr>
                    <w:t xml:space="preserve"> Документации</w:t>
                  </w:r>
                  <w:r w:rsidRPr="00D34AE9">
                    <w:rPr>
                      <w:rFonts w:ascii="Times New Roman" w:eastAsia="Times New Roman" w:hAnsi="Times New Roman" w:cs="Arial"/>
                      <w:color w:val="000000"/>
                      <w:sz w:val="24"/>
                      <w:szCs w:val="24"/>
                      <w:lang w:eastAsia="ru-RU"/>
                    </w:rPr>
                    <w:t>), на 30 календарных дней. Сведения по данному критерию указываются участником закупки в его заявке на участие в закупке.</w:t>
                  </w:r>
                </w:p>
              </w:tc>
            </w:tr>
          </w:tbl>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xml:space="preserve">Оценка и сопоставление заявок на участие в </w:t>
            </w:r>
            <w:r w:rsidRPr="00D34AE9">
              <w:rPr>
                <w:rFonts w:ascii="Times New Roman" w:eastAsia="Times New Roman" w:hAnsi="Times New Roman" w:cs="Times New Roman"/>
                <w:color w:val="000000"/>
                <w:sz w:val="24"/>
                <w:szCs w:val="24"/>
                <w:lang w:eastAsia="ru-RU"/>
              </w:rPr>
              <w:t>закупке</w:t>
            </w:r>
            <w:r w:rsidRPr="00D34AE9">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к Извещению.</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D34AE9">
              <w:rPr>
                <w:rFonts w:ascii="Times New Roman" w:eastAsia="Times New Roman" w:hAnsi="Times New Roman" w:cs="Times New Roman"/>
                <w:sz w:val="24"/>
                <w:szCs w:val="24"/>
                <w:lang w:eastAsia="ru-RU"/>
              </w:rPr>
              <w:t xml:space="preserve">Документации о </w:t>
            </w:r>
            <w:r w:rsidRPr="00D34AE9">
              <w:rPr>
                <w:rFonts w:ascii="Times New Roman" w:eastAsia="Times New Roman" w:hAnsi="Times New Roman" w:cs="Times New Roman"/>
                <w:color w:val="000000"/>
                <w:sz w:val="24"/>
                <w:szCs w:val="24"/>
                <w:lang w:eastAsia="ru-RU"/>
              </w:rPr>
              <w:t>закупке, и заявке которого присвоен первый номер</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Аномально заниженной ценой договора (договоров) признается снижение цены на 25 % (двадцать пять процентов) или более процентов.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w:t>
            </w:r>
            <w:r w:rsidRPr="00D34AE9">
              <w:rPr>
                <w:rFonts w:ascii="Times New Roman" w:eastAsia="Times New Roman" w:hAnsi="Times New Roman" w:cs="Times New Roman"/>
                <w:sz w:val="24"/>
                <w:szCs w:val="24"/>
                <w:lang w:eastAsia="ru-RU"/>
              </w:rPr>
              <w:lastRenderedPageBreak/>
              <w:t>в сроки осуществления Открытого запроса предложений, проводит анализ всей информации, предоставленной Участником в Заявке.</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34AE9" w:rsidRPr="00D34AE9" w:rsidTr="00D34AE9">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nil"/>
              <w:bottom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Calibri" w:hAnsi="Times New Roman" w:cs="Times New Roman"/>
                <w:iCs/>
                <w:color w:val="000000"/>
                <w:sz w:val="24"/>
                <w:szCs w:val="24"/>
                <w:lang w:eastAsia="ru-RU"/>
              </w:rPr>
              <w:t xml:space="preserve">Место поставки товара: </w:t>
            </w:r>
            <w:r w:rsidRPr="00D34AE9">
              <w:rPr>
                <w:rFonts w:ascii="Times New Roman" w:eastAsia="Times New Roman" w:hAnsi="Times New Roman" w:cs="Times New Roman"/>
                <w:sz w:val="24"/>
                <w:szCs w:val="24"/>
                <w:lang w:eastAsia="ru-RU"/>
              </w:rPr>
              <w:t>Республика Башкортостан, г. Уфа, ул. Каспийская, 14.</w:t>
            </w:r>
          </w:p>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Условия поставки товара определены в Приложениях №№ 1.1, 2 к настоящему Извещению.</w:t>
            </w:r>
          </w:p>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Срок (периоды) поставки товара: до 07.12.2015 г.</w:t>
            </w:r>
          </w:p>
        </w:tc>
      </w:tr>
      <w:tr w:rsidR="00D34AE9" w:rsidRPr="00D34AE9" w:rsidTr="00D34AE9">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ind w:left="317"/>
              <w:jc w:val="both"/>
              <w:rPr>
                <w:rFonts w:ascii="Times New Roman" w:eastAsia="Times New Roman" w:hAnsi="Times New Roman" w:cs="Times New Roman"/>
                <w:sz w:val="24"/>
                <w:szCs w:val="24"/>
                <w:lang w:eastAsia="ru-RU"/>
              </w:rPr>
            </w:pPr>
          </w:p>
        </w:tc>
      </w:tr>
      <w:tr w:rsidR="00D34AE9" w:rsidRPr="00D34AE9" w:rsidTr="00D34AE9">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t>Не предоставляются</w:t>
            </w:r>
          </w:p>
        </w:tc>
      </w:tr>
      <w:tr w:rsidR="00D34AE9" w:rsidRPr="00D34AE9" w:rsidTr="00D34AE9">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val="en-US" w:eastAsia="ru-RU"/>
              </w:rPr>
            </w:pPr>
            <w:r w:rsidRPr="00D34AE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Русский</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hanging="1"/>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Российский рубль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w:t>
            </w:r>
            <w:r w:rsidRPr="00D34AE9">
              <w:rPr>
                <w:rFonts w:ascii="Times New Roman" w:eastAsia="Times New Roman" w:hAnsi="Times New Roman" w:cs="Times New Roman"/>
                <w:sz w:val="24"/>
                <w:szCs w:val="24"/>
                <w:lang w:eastAsia="ru-RU"/>
              </w:rPr>
              <w:lastRenderedPageBreak/>
              <w:t xml:space="preserve">предложения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2.1._Общие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о закупке</w:t>
            </w:r>
            <w:r w:rsidRPr="00D34AE9">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Переторжка по решению Закупочной комиссии может проводиться многократно.</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в любое время до истечения срока предоставления Заявок внести изменения в Извещение о закупке, Документацию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предоставления Заявок в любое время до истечения такого срока.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Если изменения в Извещение о закупке, Документацию о закупке внесены Заказчиком позднее чем за 1 (один) день до даты окончания </w:t>
            </w:r>
            <w:r w:rsidRPr="00D34AE9">
              <w:rPr>
                <w:rFonts w:ascii="Times New Roman" w:eastAsia="Times New Roman" w:hAnsi="Times New Roman" w:cs="Times New Roman"/>
                <w:sz w:val="24"/>
                <w:szCs w:val="24"/>
                <w:lang w:eastAsia="ru-RU"/>
              </w:rPr>
              <w:lastRenderedPageBreak/>
              <w:t>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lastRenderedPageBreak/>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1" w:name="_2.3._Требования_к"/>
      <w:bookmarkStart w:id="22" w:name="_2.2._Требования_к"/>
      <w:bookmarkStart w:id="23" w:name="_Toc422763652"/>
      <w:bookmarkEnd w:id="21"/>
      <w:bookmarkEnd w:id="22"/>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2</w:t>
      </w:r>
      <w:r w:rsidRPr="00D34AE9">
        <w:rPr>
          <w:rFonts w:ascii="Times New Roman" w:eastAsia="MS Mincho" w:hAnsi="Times New Roman" w:cs="Times New Roman"/>
          <w:b/>
          <w:bCs/>
          <w:i/>
          <w:iCs/>
          <w:color w:val="17365D"/>
          <w:sz w:val="26"/>
          <w:szCs w:val="24"/>
          <w:lang w:val="x-none" w:eastAsia="x-none"/>
        </w:rPr>
        <w:t xml:space="preserve">. Требования к </w:t>
      </w:r>
      <w:r w:rsidRPr="00D34AE9">
        <w:rPr>
          <w:rFonts w:ascii="Times New Roman" w:eastAsia="MS Mincho" w:hAnsi="Times New Roman" w:cs="Times New Roman"/>
          <w:b/>
          <w:bCs/>
          <w:i/>
          <w:iCs/>
          <w:color w:val="17365D"/>
          <w:sz w:val="26"/>
          <w:szCs w:val="24"/>
          <w:lang w:eastAsia="x-none"/>
        </w:rPr>
        <w:t>З</w:t>
      </w:r>
      <w:r w:rsidRPr="00D34AE9">
        <w:rPr>
          <w:rFonts w:ascii="Times New Roman" w:eastAsia="MS Mincho" w:hAnsi="Times New Roman" w:cs="Times New Roman"/>
          <w:b/>
          <w:bCs/>
          <w:i/>
          <w:iCs/>
          <w:color w:val="17365D"/>
          <w:sz w:val="26"/>
          <w:szCs w:val="24"/>
          <w:lang w:val="x-none" w:eastAsia="x-none"/>
        </w:rPr>
        <w:t>аявке на участие в закупке</w:t>
      </w:r>
      <w:bookmarkEnd w:id="23"/>
    </w:p>
    <w:p w:rsidR="00D34AE9" w:rsidRPr="00D34AE9" w:rsidRDefault="00D34AE9" w:rsidP="00D34AE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Содержание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1 (один) день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Приложении № 6 к Извещению.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Разъяснения размещаются Заказчиком на Официальном сайте, на ЭТП, а также официальном сайте ПАО «Башинформсвязь» не позднее чем в течение 3 (трёх) дней со дня предоставления указанных разъяснений.</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и место, предоставления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Заявки предоставляются в форме электронных документов непосредственно на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предоставления Заявок на ЭТП определяется Регламентом работы данной ЭТП.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предоставления Заявок на участие в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Заявки на участие в закупке, отозванные до окончания срока предоставления Заявок на участие в закупке в порядке, указанном выше, считаются не поданными.</w:t>
            </w:r>
          </w:p>
        </w:tc>
      </w:tr>
      <w:tr w:rsidR="00D34AE9" w:rsidRPr="00D34AE9" w:rsidTr="00D34AE9">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Документы, включаемые Претендентом на участие в закупке</w:t>
            </w:r>
            <w:r w:rsidRPr="00D34AE9" w:rsidDel="00782B65">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25" w:name="_Toc313349949"/>
            <w:bookmarkStart w:id="26" w:name="_Toc313350145"/>
            <w:bookmarkStart w:id="27" w:name="_Ref166246797"/>
            <w:r w:rsidRPr="00D34AE9">
              <w:rPr>
                <w:rFonts w:ascii="Times New Roman" w:eastAsia="Times New Roman" w:hAnsi="Times New Roman" w:cs="Times New Roman"/>
                <w:sz w:val="24"/>
                <w:szCs w:val="24"/>
                <w:lang w:eastAsia="ru-RU"/>
              </w:rPr>
              <w:t>Для участия в закупке Претендент предоставляет Заявку на участие в закупке по форме Приложения № 3 к Извещению.</w:t>
            </w:r>
          </w:p>
          <w:p w:rsidR="00D34AE9" w:rsidRPr="00D34AE9" w:rsidRDefault="00D34AE9" w:rsidP="00D34AE9">
            <w:pPr>
              <w:spacing w:before="120" w:after="0" w:line="240" w:lineRule="auto"/>
              <w:ind w:firstLine="486"/>
              <w:jc w:val="both"/>
              <w:rPr>
                <w:rFonts w:ascii="Times New Roman" w:eastAsia="Times New Roman" w:hAnsi="Times New Roman" w:cs="Times New Roman"/>
                <w:sz w:val="24"/>
                <w:szCs w:val="24"/>
                <w:lang w:eastAsia="ru-RU"/>
              </w:rPr>
            </w:pPr>
            <w:bookmarkStart w:id="28" w:name="_Toc313349952"/>
            <w:bookmarkStart w:id="29" w:name="_Toc313350148"/>
            <w:bookmarkStart w:id="30" w:name="_Ref320180868"/>
            <w:bookmarkEnd w:id="25"/>
            <w:bookmarkEnd w:id="26"/>
            <w:r w:rsidRPr="00D34AE9">
              <w:rPr>
                <w:rFonts w:ascii="Times New Roman" w:eastAsia="Times New Roman" w:hAnsi="Times New Roman" w:cs="Times New Roman"/>
                <w:sz w:val="24"/>
                <w:szCs w:val="24"/>
                <w:lang w:eastAsia="ru-RU"/>
              </w:rPr>
              <w:t>Заявка на участие в закупке в качестве приложений должна содержать следующие документы:</w:t>
            </w:r>
            <w:bookmarkEnd w:id="28"/>
            <w:bookmarkEnd w:id="29"/>
            <w:bookmarkEnd w:id="30"/>
          </w:p>
          <w:bookmarkEnd w:id="27"/>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Сведения и документы о Претенденте, предоставившем такую Заявку, а именно:</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bookmarkStart w:id="31" w:name="_Toc313349954"/>
            <w:bookmarkStart w:id="32" w:name="_Toc313350150"/>
            <w:r w:rsidRPr="00D34AE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б) 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 копии учредительных документов (для юридических лиц);</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 копию основного документа, удостоверяющего личность, (для физических лиц и индивидуальных предпринимателей);</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 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ж)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34AE9" w:rsidRPr="00D34AE9" w:rsidRDefault="00D34AE9" w:rsidP="00D34AE9">
            <w:pPr>
              <w:spacing w:after="0" w:line="240" w:lineRule="auto"/>
              <w:ind w:firstLine="387"/>
              <w:jc w:val="both"/>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предоставления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3" w:name="_Ref314562138"/>
            <w:r w:rsidRPr="00D34AE9">
              <w:rPr>
                <w:rFonts w:ascii="Times New Roman" w:eastAsia="Times New Roman" w:hAnsi="Times New Roman" w:cs="Times New Roman"/>
                <w:sz w:val="24"/>
                <w:szCs w:val="24"/>
                <w:lang w:eastAsia="ru-RU"/>
              </w:rPr>
              <w:t xml:space="preserve">2) </w:t>
            </w:r>
            <w:bookmarkEnd w:id="33"/>
            <w:r w:rsidRPr="00D34AE9">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4" w:name="_Ref313307290"/>
            <w:r w:rsidRPr="00D34AE9">
              <w:rPr>
                <w:rFonts w:ascii="Times New Roman" w:eastAsia="Times New Roman" w:hAnsi="Times New Roman" w:cs="Times New Roman"/>
                <w:sz w:val="24"/>
                <w:szCs w:val="24"/>
                <w:lang w:eastAsia="ru-RU"/>
              </w:rPr>
              <w:t xml:space="preserve">3) Предложение Претендента в отношении предмета </w:t>
            </w:r>
            <w:bookmarkStart w:id="35" w:name="_Ref314562291"/>
            <w:r w:rsidRPr="00D34AE9">
              <w:rPr>
                <w:rFonts w:ascii="Times New Roman" w:eastAsia="Times New Roman" w:hAnsi="Times New Roman" w:cs="Times New Roman"/>
                <w:sz w:val="24"/>
                <w:szCs w:val="24"/>
                <w:lang w:eastAsia="ru-RU"/>
              </w:rPr>
              <w:t>закупки по форме Приложения № 3 к Извещению с приложением расчета и обоснования цены договора (спецификация) по форме Приложения №1.1 к Извещению (указанный документ также обязательно должен быть представлен в формате Excel), а также описание предложенного товара по форме Приложения № 1.2 к Извещению.</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4) Копии документов, подтверждающих соответствие товаров, работ, услуг требованиям, установленным в </w:t>
            </w:r>
            <w:bookmarkEnd w:id="34"/>
            <w:bookmarkEnd w:id="35"/>
            <w:r w:rsidRPr="00D34AE9">
              <w:rPr>
                <w:rFonts w:ascii="Times New Roman" w:eastAsia="Times New Roman" w:hAnsi="Times New Roman" w:cs="Times New Roman"/>
                <w:sz w:val="24"/>
                <w:szCs w:val="24"/>
                <w:lang w:eastAsia="ru-RU"/>
              </w:rPr>
              <w:t xml:space="preserve">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_Ref378853453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12</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(копии сертификатов и деклараций соответствия качества товара, техническая документация на товар от производителей)</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6" w:name="_Ref313307321"/>
            <w:r w:rsidRPr="00D34AE9">
              <w:rPr>
                <w:rFonts w:ascii="Times New Roman" w:eastAsia="Times New Roman" w:hAnsi="Times New Roman" w:cs="Times New Roman"/>
                <w:sz w:val="24"/>
                <w:szCs w:val="24"/>
                <w:lang w:eastAsia="ru-RU"/>
              </w:rPr>
              <w:t>5)</w:t>
            </w:r>
            <w:r w:rsidRPr="00D34AE9">
              <w:rPr>
                <w:rFonts w:ascii="Times New Roman" w:eastAsia="Calibri" w:hAnsi="Times New Roman" w:cs="Times New Roman"/>
                <w:i/>
                <w:sz w:val="24"/>
                <w:szCs w:val="24"/>
              </w:rPr>
              <w:t xml:space="preserve"> </w:t>
            </w:r>
            <w:r w:rsidRPr="00D34AE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их указания в п.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В случае, если начальная (максимальная) цена договора превышает 5 миллионов рублей, Заявка должна содержать документ, заполненный по форме Приложения № 5 к Извещению</w:t>
            </w:r>
            <w:hyperlink w:anchor="_Форма_5_Справка" w:history="1"/>
            <w:r w:rsidRPr="00D34AE9">
              <w:rPr>
                <w:rFonts w:ascii="Times New Roman" w:eastAsia="Times New Roman" w:hAnsi="Times New Roman" w:cs="Times New Roman"/>
                <w:sz w:val="24"/>
                <w:szCs w:val="24"/>
                <w:lang w:eastAsia="ru-RU"/>
              </w:rPr>
              <w:t>, раскрывающий информацию в отношении всей цепочки собственников Претендента, включая бенефициаров (в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фотоизображение предложенного товара, в том числе в горизонтальной, фронтальной и профильных проекциях в формате .</w:t>
            </w:r>
            <w:r w:rsidRPr="00D34AE9">
              <w:rPr>
                <w:rFonts w:ascii="Times New Roman" w:eastAsia="Times New Roman" w:hAnsi="Times New Roman" w:cs="Times New Roman"/>
                <w:sz w:val="24"/>
                <w:szCs w:val="24"/>
                <w:lang w:val="en-US" w:eastAsia="ru-RU"/>
              </w:rPr>
              <w:t>jpeg</w:t>
            </w: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48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8"/>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sz w:val="24"/>
                <w:szCs w:val="24"/>
                <w:lang w:eastAsia="ru-RU"/>
              </w:rPr>
              <w:t xml:space="preserve">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w:t>
            </w:r>
            <w:r w:rsidRPr="00D34AE9">
              <w:rPr>
                <w:rFonts w:ascii="Times New Roman" w:eastAsia="Times New Roman" w:hAnsi="Times New Roman" w:cs="Times New Roman"/>
                <w:sz w:val="24"/>
                <w:szCs w:val="24"/>
                <w:lang w:eastAsia="ru-RU"/>
              </w:rPr>
              <w:lastRenderedPageBreak/>
              <w:t>комментариями, разъясняющими цель предоставления этих документов.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Документы, представленные Претендентом/Участником,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 </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21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bCs/>
                <w:i/>
                <w:sz w:val="24"/>
                <w:szCs w:val="24"/>
                <w:lang w:eastAsia="ru-RU"/>
              </w:rPr>
            </w:pPr>
            <w:r w:rsidRPr="00D34AE9">
              <w:rPr>
                <w:rFonts w:ascii="Times New Roman" w:eastAsia="Times New Roman" w:hAnsi="Times New Roman" w:cs="Times New Roman"/>
                <w:sz w:val="24"/>
                <w:szCs w:val="24"/>
                <w:lang w:eastAsia="ru-RU"/>
              </w:rPr>
              <w:t xml:space="preserve">4. </w:t>
            </w:r>
            <w:r w:rsidRPr="00D34AE9">
              <w:rPr>
                <w:rFonts w:ascii="Times New Roman" w:eastAsia="Times New Roman" w:hAnsi="Times New Roman" w:cs="Times New Roman"/>
                <w:bCs/>
                <w:sz w:val="24"/>
                <w:szCs w:val="24"/>
                <w:lang w:eastAsia="ru-RU"/>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D34AE9">
              <w:rPr>
                <w:rFonts w:ascii="Times New Roman" w:eastAsia="Times New Roman" w:hAnsi="Times New Roman" w:cs="Times New Roman"/>
                <w:bCs/>
                <w:sz w:val="24"/>
                <w:szCs w:val="24"/>
                <w:lang w:eastAsia="ru-RU"/>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D34AE9">
              <w:rPr>
                <w:rFonts w:ascii="Times New Roman" w:eastAsia="Times New Roman" w:hAnsi="Times New Roman" w:cs="Times New Roman"/>
                <w:bCs/>
                <w:i/>
                <w:sz w:val="24"/>
                <w:szCs w:val="24"/>
                <w:lang w:eastAsia="ru-RU"/>
              </w:rPr>
              <w:t>.</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5. Заявка и документы, входящие в состав Заявки,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6"/>
                <w:szCs w:val="26"/>
                <w:lang w:eastAsia="ru-RU"/>
              </w:rPr>
              <w:t xml:space="preserve"> </w:t>
            </w:r>
            <w:r w:rsidRPr="00D34AE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9. В отношении каждого лота Претендент вправе предоставить только одну Заявку. В случае установления факта предоставления одним Претендентом двух и более Заявок в отношении одного лота при условии, что предоставленные ранее Заявки этим Претендентом не отозваны, все Заявки такого Претендента не рассматриваются и возвращаются такому Претенденту.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Прочие правила подготовки и предоставления Заявки через ЭТП определяются Регламентом работы данной ЭТП.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_Ref378107245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8</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iCs/>
                <w:sz w:val="24"/>
                <w:szCs w:val="24"/>
                <w:lang w:eastAsia="ru-RU"/>
              </w:rPr>
              <w:t xml:space="preserve">раздела </w:t>
            </w:r>
            <w:hyperlink w:anchor="_РАЗДЕЛ_II._СВЕДЕНИЯ" w:history="1">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осуществляет рассмотрение предоставленных Претендентами Заявок на предмет их соответствия требованиям настоящей Документацией, и определяет перечень Претендентов, которые признаются Участниками Открытого запроса предложений.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 несоответствия Претендента требованиям, установленным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б) </w:t>
            </w:r>
            <w:r w:rsidRPr="00D34AE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w:t>
            </w:r>
            <w:r w:rsidRPr="00D34AE9">
              <w:rPr>
                <w:rFonts w:ascii="Times New Roman" w:eastAsia="Times New Roman" w:hAnsi="Times New Roman" w:cs="Times New Roman"/>
                <w:sz w:val="24"/>
                <w:szCs w:val="24"/>
                <w:lang w:eastAsia="ru-RU"/>
              </w:rPr>
              <w:tab/>
              <w:t xml:space="preserve"> несоответствия Заявки (в том числе указанных в ней товаров, работ, услуг) требованиям настоящей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w:t>
            </w:r>
            <w:r w:rsidRPr="00D34AE9">
              <w:rPr>
                <w:rFonts w:ascii="Times New Roman" w:eastAsia="Times New Roman" w:hAnsi="Times New Roman" w:cs="Times New Roman"/>
                <w:sz w:val="24"/>
                <w:szCs w:val="24"/>
                <w:lang w:eastAsia="ru-RU"/>
              </w:rPr>
              <w:tab/>
              <w:t xml:space="preserve"> предложенная в Заявке цена товаров, работ, услуг превышает начальную (максимальную) цену, указанную в Извещении о проведении закупки.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bookmarkStart w:id="38" w:name="_2.4._Критерии_и"/>
      <w:bookmarkEnd w:id="38"/>
      <w:r w:rsidRPr="00D34AE9">
        <w:rPr>
          <w:rFonts w:ascii="Times New Roman" w:eastAsia="Times New Roman" w:hAnsi="Times New Roman" w:cs="Times New Roman"/>
          <w:sz w:val="24"/>
          <w:szCs w:val="24"/>
          <w:lang w:eastAsia="ru-RU"/>
        </w:rPr>
        <w:lastRenderedPageBreak/>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9" w:name="_2.3._Условия_заключения"/>
      <w:bookmarkStart w:id="40" w:name="_Toc422763653"/>
      <w:bookmarkEnd w:id="39"/>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3</w:t>
      </w:r>
      <w:r w:rsidRPr="00D34AE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D34AE9" w:rsidRPr="00D34AE9" w:rsidTr="00D34AE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Информация</w:t>
            </w:r>
          </w:p>
        </w:tc>
      </w:tr>
      <w:tr w:rsidR="00D34AE9" w:rsidRPr="00D34AE9" w:rsidTr="00D34AE9">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D34AE9" w:rsidRPr="00D34AE9" w:rsidRDefault="00D34AE9" w:rsidP="00D34AE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5"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w:t>
              </w:r>
            </w:hyperlink>
            <w:r w:rsidRPr="00D34AE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i/>
                <w:sz w:val="24"/>
                <w:szCs w:val="24"/>
                <w:lang w:eastAsia="ru-RU"/>
              </w:rPr>
            </w:pPr>
            <w:r w:rsidRPr="00D34AE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34AE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34AE9" w:rsidRPr="00D34AE9" w:rsidTr="00D34AE9">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w:t>
            </w:r>
            <w:r w:rsidRPr="00D34AE9">
              <w:rPr>
                <w:rFonts w:ascii="Times New Roman" w:eastAsia="Times New Roman" w:hAnsi="Times New Roman" w:cs="Times New Roman"/>
                <w:sz w:val="24"/>
                <w:szCs w:val="24"/>
                <w:lang w:eastAsia="ru-RU"/>
              </w:rP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цена договора может быть снижена без изменения предусмотренных договором количества товаров/ объема работ, 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30 % от заявленного в настоящей Документации без изменения цены за единицу товара/работ/услуг;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highlight w:val="yellow"/>
                <w:lang w:eastAsia="ru-RU"/>
              </w:rPr>
            </w:pPr>
            <w:r w:rsidRPr="00D34AE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16"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товаров, работ, услуг ПАО «Башинформсвязь».</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ценой, указанной в Заявке, и ценой, указанной на ЭТП, </w:t>
            </w:r>
            <w:r w:rsidRPr="00D34AE9">
              <w:rPr>
                <w:rFonts w:ascii="Times New Roman" w:eastAsia="Times New Roman" w:hAnsi="Times New Roman" w:cs="Times New Roman"/>
                <w:sz w:val="24"/>
                <w:szCs w:val="24"/>
                <w:lang w:eastAsia="ru-RU"/>
              </w:rPr>
              <w:lastRenderedPageBreak/>
              <w:t>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17"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 утвержденным Советом директоров Общества (Протокол № 10 от 21 сентября 2015 г.)</w:t>
        </w:r>
      </w:hyperlink>
      <w:r w:rsidRPr="00D34AE9">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 настоящей Документации о закупке прилагаются и являются ее неотъемлемой частью: Извещение о закупке, спецификация (Приложение № 1.1 к Извещению), Технические требования к товару (Приложение № 1.2 к Извещению), проект договора (Приложение № 2 к Извещению), форма заявки на участие в закупке (Приложение № 3 к Извещению), п</w:t>
      </w:r>
      <w:r w:rsidRPr="00D34AE9">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D34AE9">
        <w:rPr>
          <w:rFonts w:ascii="Times New Roman" w:eastAsia="Times New Roman" w:hAnsi="Times New Roman" w:cs="Times New Roman"/>
          <w:sz w:val="24"/>
          <w:szCs w:val="24"/>
          <w:lang w:eastAsia="ru-RU"/>
        </w:rPr>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 форма запроса на разъяснение документации о закупке (Приложение № 6 к Извещению).</w:t>
      </w:r>
    </w:p>
    <w:p w:rsidR="00D34AE9" w:rsidRPr="00D34AE9" w:rsidRDefault="00D34AE9" w:rsidP="00D34AE9">
      <w:pPr>
        <w:keepNext/>
        <w:tabs>
          <w:tab w:val="left" w:pos="6424"/>
        </w:tabs>
        <w:spacing w:after="120" w:line="240" w:lineRule="auto"/>
        <w:jc w:val="both"/>
        <w:outlineLvl w:val="0"/>
        <w:rPr>
          <w:rFonts w:ascii="Cambria" w:eastAsia="MS Mincho" w:hAnsi="Cambria" w:cs="Times New Roman"/>
          <w:b/>
          <w:bCs/>
          <w:color w:val="365F91"/>
          <w:sz w:val="28"/>
          <w:szCs w:val="28"/>
          <w:lang w:eastAsia="x-none"/>
        </w:rPr>
      </w:pPr>
      <w:bookmarkStart w:id="42" w:name="_РАЗДЕЛ_III._ФОРМЫ"/>
      <w:bookmarkEnd w:id="42"/>
      <w:r w:rsidRPr="00D34AE9">
        <w:rPr>
          <w:rFonts w:ascii="Cambria" w:eastAsia="MS Mincho" w:hAnsi="Cambria" w:cs="Times New Roman"/>
          <w:b/>
          <w:bCs/>
          <w:color w:val="365F91"/>
          <w:sz w:val="28"/>
          <w:szCs w:val="28"/>
          <w:lang w:eastAsia="x-none"/>
        </w:rPr>
        <w:t xml:space="preserve">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9D1EF2" w:rsidRDefault="009D1EF2"/>
    <w:sectPr w:rsidR="009D1EF2" w:rsidSect="00D34AE9">
      <w:headerReference w:type="first" r:id="rId18"/>
      <w:pgSz w:w="11907" w:h="16839" w:code="9"/>
      <w:pgMar w:top="851" w:right="567" w:bottom="567" w:left="1134" w:header="720" w:footer="720"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E9" w:rsidRDefault="00D34AE9">
    <w:pPr>
      <w:pStyle w:val="a5"/>
      <w:jc w:val="center"/>
    </w:pPr>
    <w:r>
      <w:fldChar w:fldCharType="begin"/>
    </w:r>
    <w:r>
      <w:instrText>PAGE   \* MERGEFORMAT</w:instrText>
    </w:r>
    <w:r>
      <w:fldChar w:fldCharType="separate"/>
    </w:r>
    <w:r w:rsidR="008510C4">
      <w:rPr>
        <w:noProof/>
      </w:rPr>
      <w:t>1</w:t>
    </w:r>
    <w:r>
      <w:fldChar w:fldCharType="end"/>
    </w:r>
  </w:p>
  <w:p w:rsidR="00D34AE9" w:rsidRDefault="00D34A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E9"/>
    <w:rsid w:val="008510C4"/>
    <w:rsid w:val="009D1EF2"/>
    <w:rsid w:val="00D34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55ECEB-05C7-4ADE-A92B-E04D3DC6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34AE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34AE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34AE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34AE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34AE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34AE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34AE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34AE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34AE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4AE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34AE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34AE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34AE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34AE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34AE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34AE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34AE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34AE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34AE9"/>
  </w:style>
  <w:style w:type="paragraph" w:customStyle="1" w:styleId="110">
    <w:name w:val="заголовок 11"/>
    <w:basedOn w:val="a"/>
    <w:next w:val="a"/>
    <w:rsid w:val="00D34AE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34AE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34AE9"/>
    <w:rPr>
      <w:color w:val="0000FF"/>
      <w:u w:val="single"/>
    </w:rPr>
  </w:style>
  <w:style w:type="paragraph" w:styleId="a4">
    <w:name w:val="List Paragraph"/>
    <w:basedOn w:val="a"/>
    <w:uiPriority w:val="34"/>
    <w:qFormat/>
    <w:rsid w:val="00D34AE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34AE9"/>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34AE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34AE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34AE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34AE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34AE9"/>
    <w:rPr>
      <w:rFonts w:ascii="Tahoma" w:eastAsia="Times New Roman" w:hAnsi="Tahoma" w:cs="Tahoma"/>
      <w:sz w:val="16"/>
      <w:szCs w:val="16"/>
      <w:lang w:eastAsia="ru-RU"/>
    </w:rPr>
  </w:style>
  <w:style w:type="table" w:styleId="ab">
    <w:name w:val="Table Grid"/>
    <w:basedOn w:val="a1"/>
    <w:uiPriority w:val="59"/>
    <w:rsid w:val="00D34AE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34A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34AE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34AE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34AE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34AE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34AE9"/>
    <w:rPr>
      <w:rFonts w:ascii="Times New Roman" w:eastAsia="Times New Roman" w:hAnsi="Times New Roman" w:cs="Times New Roman"/>
      <w:sz w:val="24"/>
      <w:szCs w:val="24"/>
      <w:lang w:eastAsia="ru-RU"/>
    </w:rPr>
  </w:style>
  <w:style w:type="paragraph" w:styleId="ae">
    <w:name w:val="Plain Text"/>
    <w:basedOn w:val="a"/>
    <w:link w:val="af"/>
    <w:rsid w:val="00D34AE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34AE9"/>
    <w:rPr>
      <w:rFonts w:ascii="Courier New" w:eastAsia="Times New Roman" w:hAnsi="Courier New" w:cs="Times New Roman"/>
      <w:sz w:val="20"/>
      <w:szCs w:val="20"/>
      <w:lang w:eastAsia="ru-RU"/>
    </w:rPr>
  </w:style>
  <w:style w:type="paragraph" w:customStyle="1" w:styleId="af0">
    <w:name w:val="Таблица шапка"/>
    <w:basedOn w:val="a"/>
    <w:rsid w:val="00D34AE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34AE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34AE9"/>
    <w:rPr>
      <w:rFonts w:ascii="Arial" w:hAnsi="Arial" w:cs="Arial"/>
    </w:rPr>
  </w:style>
  <w:style w:type="paragraph" w:customStyle="1" w:styleId="af2">
    <w:name w:val="Ариал"/>
    <w:basedOn w:val="a"/>
    <w:link w:val="13"/>
    <w:rsid w:val="00D34AE9"/>
    <w:pPr>
      <w:spacing w:before="120" w:after="120" w:line="360" w:lineRule="auto"/>
      <w:ind w:firstLine="851"/>
      <w:jc w:val="both"/>
    </w:pPr>
    <w:rPr>
      <w:rFonts w:ascii="Arial" w:hAnsi="Arial" w:cs="Arial"/>
    </w:rPr>
  </w:style>
  <w:style w:type="paragraph" w:customStyle="1" w:styleId="af3">
    <w:name w:val="Пункт б/н"/>
    <w:basedOn w:val="a"/>
    <w:rsid w:val="00D34AE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34AE9"/>
    <w:rPr>
      <w:rFonts w:ascii="Arial" w:hAnsi="Arial" w:cs="Arial"/>
    </w:rPr>
  </w:style>
  <w:style w:type="paragraph" w:customStyle="1" w:styleId="af5">
    <w:name w:val="Ариал Таблица"/>
    <w:basedOn w:val="af2"/>
    <w:link w:val="af4"/>
    <w:rsid w:val="00D34AE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34AE9"/>
    <w:rPr>
      <w:rFonts w:ascii="Times New Roman" w:eastAsia="Times New Roman" w:hAnsi="Times New Roman" w:cs="Times New Roman"/>
      <w:sz w:val="20"/>
      <w:szCs w:val="20"/>
      <w:lang w:eastAsia="ru-RU"/>
    </w:rPr>
  </w:style>
  <w:style w:type="character" w:styleId="af8">
    <w:name w:val="footnote reference"/>
    <w:unhideWhenUsed/>
    <w:rsid w:val="00D34AE9"/>
    <w:rPr>
      <w:vertAlign w:val="superscript"/>
    </w:rPr>
  </w:style>
  <w:style w:type="paragraph" w:customStyle="1" w:styleId="ConsPlusNormal">
    <w:name w:val="ConsPlusNormal"/>
    <w:rsid w:val="00D34A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34AE9"/>
  </w:style>
  <w:style w:type="paragraph" w:customStyle="1" w:styleId="rvps46">
    <w:name w:val="rvps46"/>
    <w:basedOn w:val="a"/>
    <w:rsid w:val="00D34AE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34AE9"/>
    <w:rPr>
      <w:sz w:val="16"/>
      <w:szCs w:val="16"/>
    </w:rPr>
  </w:style>
  <w:style w:type="paragraph" w:styleId="afb">
    <w:name w:val="annotation text"/>
    <w:basedOn w:val="a"/>
    <w:link w:val="afc"/>
    <w:uiPriority w:val="99"/>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34AE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34AE9"/>
    <w:rPr>
      <w:b/>
      <w:bCs/>
    </w:rPr>
  </w:style>
  <w:style w:type="character" w:customStyle="1" w:styleId="afe">
    <w:name w:val="Тема примечания Знак"/>
    <w:basedOn w:val="afc"/>
    <w:link w:val="afd"/>
    <w:uiPriority w:val="99"/>
    <w:semiHidden/>
    <w:rsid w:val="00D34AE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34AE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34AE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34AE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34AE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34AE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34AE9"/>
    <w:rPr>
      <w:rFonts w:ascii="Times New Roman" w:eastAsia="Times New Roman" w:hAnsi="Times New Roman" w:cs="Times New Roman"/>
      <w:i/>
      <w:color w:val="FF0000"/>
      <w:sz w:val="26"/>
      <w:szCs w:val="26"/>
      <w:lang w:eastAsia="ru-RU"/>
    </w:rPr>
  </w:style>
  <w:style w:type="paragraph" w:customStyle="1" w:styleId="aff3">
    <w:name w:val="Пункт"/>
    <w:basedOn w:val="a"/>
    <w:rsid w:val="00D34AE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34A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34AE9"/>
    <w:pPr>
      <w:spacing w:line="276" w:lineRule="auto"/>
      <w:outlineLvl w:val="9"/>
    </w:pPr>
  </w:style>
  <w:style w:type="paragraph" w:styleId="32">
    <w:name w:val="toc 3"/>
    <w:basedOn w:val="a"/>
    <w:next w:val="a"/>
    <w:autoRedefine/>
    <w:uiPriority w:val="39"/>
    <w:unhideWhenUsed/>
    <w:qFormat/>
    <w:rsid w:val="00D34AE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34AE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34AE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34AE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34AE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34AE9"/>
    <w:rPr>
      <w:rFonts w:ascii="Times New Roman" w:eastAsia="Times New Roman" w:hAnsi="Times New Roman" w:cs="Times New Roman"/>
      <w:sz w:val="24"/>
      <w:szCs w:val="24"/>
      <w:lang w:eastAsia="ru-RU"/>
    </w:rPr>
  </w:style>
  <w:style w:type="paragraph" w:styleId="aff5">
    <w:name w:val="Block Text"/>
    <w:basedOn w:val="a"/>
    <w:uiPriority w:val="99"/>
    <w:unhideWhenUsed/>
    <w:rsid w:val="00D34AE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34AE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34AE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34AE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34AE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34AE9"/>
    <w:rPr>
      <w:color w:val="800080"/>
      <w:u w:val="single"/>
    </w:rPr>
  </w:style>
  <w:style w:type="paragraph" w:customStyle="1" w:styleId="Default">
    <w:name w:val="Default"/>
    <w:rsid w:val="00D34AE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34AE9"/>
    <w:pPr>
      <w:numPr>
        <w:numId w:val="19"/>
      </w:numPr>
    </w:pPr>
  </w:style>
  <w:style w:type="paragraph" w:customStyle="1" w:styleId="CharChar4CharCharCharCharCharChar">
    <w:name w:val="Char Char4 Знак Знак Char Char Знак Знак Char Char Знак Char Char"/>
    <w:basedOn w:val="a"/>
    <w:semiHidden/>
    <w:rsid w:val="00D34AE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34AE9"/>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D34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mailto:e.farrahova@bashtel.r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stelecom.ru/about/tender/docs/" TargetMode="External"/><Relationship Id="rId12" Type="http://schemas.openxmlformats.org/officeDocument/2006/relationships/hyperlink" Target="http://www.rostelecom.ru" TargetMode="External"/><Relationship Id="rId17" Type="http://schemas.openxmlformats.org/officeDocument/2006/relationships/hyperlink" Target="http://www.rostelecom.ru/about/tender/docs/" TargetMode="External"/><Relationship Id="rId2" Type="http://schemas.openxmlformats.org/officeDocument/2006/relationships/styles" Target="styles.xml"/><Relationship Id="rId16" Type="http://schemas.openxmlformats.org/officeDocument/2006/relationships/hyperlink" Target="http://www.rostelecom.ru/about/tender/doc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ostelecom.ru/about/tender/docs/" TargetMode="External"/><Relationship Id="rId11" Type="http://schemas.openxmlformats.org/officeDocument/2006/relationships/hyperlink" Target="http://www.rostelecom.ru/about/tender/docs/" TargetMode="External"/><Relationship Id="rId5" Type="http://schemas.openxmlformats.org/officeDocument/2006/relationships/hyperlink" Target="http://www.zakupki.gov.ru" TargetMode="External"/><Relationship Id="rId15"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ostelecom.ru/about/tender/docs/" TargetMode="External"/><Relationship Id="rId14"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19</Pages>
  <Words>7387</Words>
  <Characters>42106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cp:revision>
  <cp:lastPrinted>2015-11-10T09:17:00Z</cp:lastPrinted>
  <dcterms:created xsi:type="dcterms:W3CDTF">2015-11-10T09:15:00Z</dcterms:created>
  <dcterms:modified xsi:type="dcterms:W3CDTF">2015-11-10T10:20:00Z</dcterms:modified>
</cp:coreProperties>
</file>